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D7" w:rsidRPr="00BD3632" w:rsidRDefault="00AB0B89">
      <w:pPr>
        <w:jc w:val="center"/>
        <w:rPr>
          <w:rFonts w:ascii="Arial" w:eastAsia="Times New Roman" w:hAnsi="Arial" w:cs="Arial"/>
          <w:b/>
          <w:bCs/>
          <w:color w:val="0B4DA1"/>
          <w:sz w:val="26"/>
          <w:szCs w:val="26"/>
          <w:lang w:eastAsia="sk-SK"/>
        </w:rPr>
      </w:pPr>
      <w:proofErr w:type="spellStart"/>
      <w:r w:rsidRPr="00BD3632">
        <w:rPr>
          <w:rFonts w:ascii="Arial" w:eastAsia="Times New Roman" w:hAnsi="Arial" w:cs="Arial"/>
          <w:b/>
          <w:bCs/>
          <w:color w:val="0B4DA1"/>
          <w:sz w:val="26"/>
          <w:szCs w:val="26"/>
          <w:lang w:eastAsia="sk-SK"/>
        </w:rPr>
        <w:t>Ex-post</w:t>
      </w:r>
      <w:proofErr w:type="spellEnd"/>
      <w:r w:rsidRPr="00BD3632">
        <w:rPr>
          <w:rFonts w:ascii="Arial" w:eastAsia="Times New Roman" w:hAnsi="Arial" w:cs="Arial"/>
          <w:b/>
          <w:bCs/>
          <w:color w:val="0B4DA1"/>
          <w:sz w:val="26"/>
          <w:szCs w:val="26"/>
          <w:lang w:eastAsia="sk-SK"/>
        </w:rPr>
        <w:t xml:space="preserve"> CBA D1 Jánovce – Jablonov</w:t>
      </w:r>
    </w:p>
    <w:p w:rsidR="005B7DD7" w:rsidRDefault="00AB0B89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Zmluva o poskytnutí nenávratného finančného príspevku (NFP) pre projekt výstavby diaľnice „D1 Jánovce – Jablonov“ bola uzatvorená dňa 21. 07. 2011. Prvý Dodatok k Zmluve o poskytnutí NFP bol uzatvorený dňa 21. 11. 2011. Druhý Dodatok k Zmluve o poskytnutí NFP bol uzatvorený 19. 05. 2014, ktorý bol upravený na základe rozhodnutia Európskej komisie. Tretí Dodatok k Zmluve o poskytnutí NFP zo dňa 7.12.2015 upravoval investičné výdavky na základe aktualizovanej analýzy nákladov a výnosov. </w:t>
      </w:r>
    </w:p>
    <w:p w:rsidR="005B7DD7" w:rsidRDefault="00AB0B89">
      <w:pPr>
        <w:shd w:val="clear" w:color="auto" w:fill="FFFFFF"/>
        <w:ind w:firstLine="708"/>
        <w:jc w:val="both"/>
      </w:pPr>
      <w:r>
        <w:rPr>
          <w:rFonts w:ascii="Arial" w:eastAsia="Times New Roman" w:hAnsi="Arial" w:cs="Arial"/>
          <w:color w:val="525252"/>
          <w:lang w:eastAsia="sk-SK"/>
        </w:rPr>
        <w:t xml:space="preserve">Išlo o finančný príspevok na výstavbu </w:t>
      </w:r>
      <w:bookmarkStart w:id="0" w:name="_Hlk14694838"/>
      <w:r>
        <w:rPr>
          <w:rFonts w:ascii="Arial" w:eastAsia="Times New Roman" w:hAnsi="Arial" w:cs="Arial"/>
          <w:color w:val="525252"/>
          <w:lang w:eastAsia="sk-SK"/>
        </w:rPr>
        <w:t>18,</w:t>
      </w:r>
      <w:bookmarkEnd w:id="0"/>
      <w:r>
        <w:rPr>
          <w:rFonts w:ascii="Arial" w:eastAsia="Times New Roman" w:hAnsi="Arial" w:cs="Arial"/>
          <w:color w:val="525252"/>
          <w:lang w:eastAsia="sk-SK"/>
        </w:rPr>
        <w:t>54 km diaľničného úseku D1 Jánovce – Jablonov. Prijímateľovi (Národná diaľničná spoločnosť, a. s.,) bol poskytnutý finančný príspevok vo výške </w:t>
      </w:r>
      <w:r>
        <w:rPr>
          <w:rFonts w:ascii="Arial" w:eastAsia="Times New Roman" w:hAnsi="Arial" w:cs="Arial"/>
          <w:b/>
          <w:bCs/>
          <w:color w:val="525252"/>
          <w:lang w:eastAsia="sk-SK"/>
        </w:rPr>
        <w:t>172 198 626,98 EUR</w:t>
      </w:r>
      <w:r>
        <w:rPr>
          <w:rFonts w:ascii="Arial" w:eastAsia="Times New Roman" w:hAnsi="Arial" w:cs="Arial"/>
          <w:color w:val="525252"/>
          <w:lang w:eastAsia="sk-SK"/>
        </w:rPr>
        <w:t>, ktorý sa skladal z príspevku z Kohézneho fondu (85 % z celkovej sumy) vo výške </w:t>
      </w:r>
      <w:r>
        <w:rPr>
          <w:rFonts w:ascii="Arial" w:eastAsia="Times New Roman" w:hAnsi="Arial" w:cs="Arial"/>
          <w:b/>
          <w:bCs/>
          <w:color w:val="525252"/>
          <w:lang w:eastAsia="sk-SK"/>
        </w:rPr>
        <w:t xml:space="preserve">146 368 832,93 EUR </w:t>
      </w:r>
      <w:r>
        <w:rPr>
          <w:rFonts w:ascii="Arial" w:eastAsia="Times New Roman" w:hAnsi="Arial" w:cs="Arial"/>
          <w:color w:val="525252"/>
          <w:lang w:eastAsia="sk-SK"/>
        </w:rPr>
        <w:t>a z príspevku zo štátneho rozpočtu (15 % z celkovej sumy) vo výške </w:t>
      </w:r>
      <w:r>
        <w:rPr>
          <w:rFonts w:ascii="Arial" w:eastAsia="Times New Roman" w:hAnsi="Arial" w:cs="Arial"/>
          <w:b/>
          <w:color w:val="525252"/>
          <w:lang w:eastAsia="sk-SK"/>
        </w:rPr>
        <w:t>25 829 794,05 EUR</w:t>
      </w:r>
      <w:r>
        <w:rPr>
          <w:rFonts w:ascii="Arial" w:eastAsia="Times New Roman" w:hAnsi="Arial" w:cs="Arial"/>
          <w:color w:val="525252"/>
          <w:lang w:eastAsia="sk-SK"/>
        </w:rPr>
        <w:t>. Príspevok bol stanovený na základe výsledku finančnej analýzy v rámci analýzy nákladov a prínosov (CBA) projektu, keď finančná medzera predstavovala </w:t>
      </w:r>
      <w:r>
        <w:rPr>
          <w:rFonts w:ascii="Arial" w:eastAsia="Times New Roman" w:hAnsi="Arial" w:cs="Arial"/>
          <w:b/>
          <w:bCs/>
          <w:color w:val="525252"/>
          <w:lang w:eastAsia="sk-SK"/>
        </w:rPr>
        <w:t>97,04% (t. j. 97,04% z celkových oprávnených výdavkov projektu bolo poskytnutých zo zdrojov Operačného programu Doprava 2007 – 2013)</w:t>
      </w:r>
      <w:r>
        <w:rPr>
          <w:rFonts w:ascii="Arial" w:eastAsia="Times New Roman" w:hAnsi="Arial" w:cs="Arial"/>
          <w:color w:val="525252"/>
          <w:lang w:eastAsia="sk-SK"/>
        </w:rPr>
        <w:t>. Diaľnica D1 Jánovce  – Jablonov je v užívaní od novembra 2015.</w:t>
      </w:r>
    </w:p>
    <w:p w:rsidR="005B7DD7" w:rsidRDefault="00AB0B89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>MDV SR ako Riadiaci orgán (RO) pristúpilo k </w:t>
      </w:r>
      <w:proofErr w:type="spellStart"/>
      <w:r>
        <w:rPr>
          <w:rFonts w:ascii="Arial" w:eastAsia="Times New Roman" w:hAnsi="Arial" w:cs="Arial"/>
          <w:color w:val="525252"/>
          <w:lang w:eastAsia="sk-SK"/>
        </w:rPr>
        <w:t>ex-post</w:t>
      </w:r>
      <w:proofErr w:type="spellEnd"/>
      <w:r>
        <w:rPr>
          <w:rFonts w:ascii="Arial" w:eastAsia="Times New Roman" w:hAnsi="Arial" w:cs="Arial"/>
          <w:color w:val="525252"/>
          <w:lang w:eastAsia="sk-SK"/>
        </w:rPr>
        <w:t xml:space="preserve"> prevereniu CBA z dôvodu zvýšenia kvality tvorby nasledujúcich predkladaných CBA cestných projektov, z dôvodu spresnenia dopravného modelovania nasledujúcich projektov ako aj užitočných podkladov ohľadom ďalšej aktualizácie Metodickej príručky CBA.     </w:t>
      </w:r>
    </w:p>
    <w:p w:rsidR="005B7DD7" w:rsidRDefault="00AB0B89">
      <w:pPr>
        <w:shd w:val="clear" w:color="auto" w:fill="FFFFFF"/>
        <w:spacing w:after="150"/>
        <w:ind w:firstLine="708"/>
        <w:jc w:val="both"/>
      </w:pPr>
      <w:r>
        <w:rPr>
          <w:rFonts w:ascii="Arial" w:eastAsia="Times New Roman" w:hAnsi="Arial" w:cs="Arial"/>
          <w:color w:val="525252"/>
          <w:lang w:eastAsia="sk-SK"/>
        </w:rPr>
        <w:t>Pri spätnom vyhodnotení CBA boli za roky 2011 – 2018 podľa skutočného stavu aktualizované nasledovné vstupné údaje:</w:t>
      </w:r>
    </w:p>
    <w:p w:rsidR="005B7DD7" w:rsidRDefault="00AB0B89" w:rsidP="002849EC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>HDP – zdroj: Štatistický úrad SR, Ministerstvo financií SR, Metodická príručka CBA OPD</w:t>
      </w:r>
    </w:p>
    <w:p w:rsidR="005B7DD7" w:rsidRDefault="00AB0B89" w:rsidP="002849EC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>Inflácia – zdroj :  Štatistický úrad SR</w:t>
      </w:r>
    </w:p>
    <w:p w:rsidR="005B7DD7" w:rsidRDefault="00AB0B89" w:rsidP="002849EC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>Ceny pohonných hmôt – zdroj :  Štatistický úrad SR</w:t>
      </w:r>
    </w:p>
    <w:p w:rsidR="005B7DD7" w:rsidRDefault="00AB0B89" w:rsidP="002849EC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>Investičné náklady – zdroj : účtovníctvo NDS, a.s.</w:t>
      </w:r>
    </w:p>
    <w:p w:rsidR="005B7DD7" w:rsidRDefault="00AB0B89" w:rsidP="002849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</w:pP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 xml:space="preserve">Intenzita dopravy – zdroj : celoštátne sčítanie dopravy SSC 2015, </w:t>
      </w:r>
    </w:p>
    <w:p w:rsidR="005B7DD7" w:rsidRDefault="00AB0B89" w:rsidP="002849EC">
      <w:pPr>
        <w:shd w:val="clear" w:color="auto" w:fill="FFFFFF"/>
        <w:spacing w:after="0" w:line="240" w:lineRule="auto"/>
        <w:ind w:left="1416" w:firstLine="708"/>
        <w:jc w:val="both"/>
      </w:pP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 xml:space="preserve">    automatické </w:t>
      </w:r>
      <w:proofErr w:type="spellStart"/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>sčítače</w:t>
      </w:r>
      <w:proofErr w:type="spellEnd"/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 xml:space="preserve"> dopravy NDS, a.s. </w:t>
      </w:r>
    </w:p>
    <w:p w:rsidR="005B7DD7" w:rsidRDefault="00AB0B89" w:rsidP="002849EC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>Prevádzkové náklady – zdroj : účtovníctvo NDS, a.s.</w:t>
      </w:r>
    </w:p>
    <w:p w:rsidR="005B7DD7" w:rsidRDefault="00AB0B89" w:rsidP="002849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</w:pP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>Príjmy – zdroj : účtovníctvo, NDS a.s.</w:t>
      </w:r>
    </w:p>
    <w:p w:rsidR="005B7DD7" w:rsidRDefault="00AB0B89" w:rsidP="002849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</w:pP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sk-SK"/>
        </w:rPr>
        <w:t>Nehodovosť – zdroj : Policajný zbor SR</w:t>
      </w:r>
    </w:p>
    <w:p w:rsidR="005B7DD7" w:rsidRDefault="005B7DD7">
      <w:pPr>
        <w:shd w:val="clear" w:color="auto" w:fill="FFFFFF"/>
        <w:spacing w:line="240" w:lineRule="auto"/>
        <w:jc w:val="both"/>
        <w:rPr>
          <w:i/>
          <w:iCs/>
          <w:sz w:val="20"/>
          <w:szCs w:val="20"/>
        </w:rPr>
      </w:pPr>
    </w:p>
    <w:p w:rsidR="005B7DD7" w:rsidRDefault="00AB0B89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Následne bola prepočítaná CBA celého projektu metodikou Operačného programu Doprava (2007 – 2013) spolu s predikciou vývoja do roka 2040. Ako pôvodná CBA bola uvažovaná posledná aktualizovaná CBA predložená RO OPD počas realizácie projektu.   </w:t>
      </w:r>
    </w:p>
    <w:p w:rsidR="00BD3632" w:rsidRDefault="00BD363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</w:pPr>
    </w:p>
    <w:p w:rsidR="005B7DD7" w:rsidRDefault="00AB0B89">
      <w:pPr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  <w:t>Vyhodnotenie finančnej analýzy</w:t>
      </w:r>
    </w:p>
    <w:p w:rsidR="00BD3632" w:rsidRDefault="00AB0B89" w:rsidP="00BD3632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Finančná medzera sa zvýšila z </w:t>
      </w:r>
      <w:r>
        <w:rPr>
          <w:rFonts w:ascii="Arial" w:eastAsia="Times New Roman" w:hAnsi="Arial" w:cs="Arial"/>
          <w:b/>
          <w:bCs/>
          <w:color w:val="525252"/>
          <w:lang w:eastAsia="sk-SK"/>
        </w:rPr>
        <w:t xml:space="preserve">97,07% na </w:t>
      </w:r>
      <w:bookmarkStart w:id="1" w:name="_Hlk14695055"/>
      <w:r>
        <w:rPr>
          <w:rFonts w:ascii="Arial" w:eastAsia="Times New Roman" w:hAnsi="Arial" w:cs="Arial"/>
          <w:b/>
          <w:bCs/>
          <w:color w:val="525252"/>
          <w:lang w:eastAsia="sk-SK"/>
        </w:rPr>
        <w:t>100%</w:t>
      </w:r>
      <w:bookmarkEnd w:id="1"/>
      <w:r>
        <w:rPr>
          <w:rFonts w:ascii="Arial" w:eastAsia="Times New Roman" w:hAnsi="Arial" w:cs="Arial"/>
          <w:b/>
          <w:bCs/>
          <w:color w:val="525252"/>
          <w:lang w:eastAsia="sk-SK"/>
        </w:rPr>
        <w:t>.</w:t>
      </w:r>
      <w:r>
        <w:rPr>
          <w:rFonts w:ascii="Arial" w:eastAsia="Times New Roman" w:hAnsi="Arial" w:cs="Arial"/>
          <w:color w:val="525252"/>
          <w:lang w:eastAsia="sk-SK"/>
        </w:rPr>
        <w:t xml:space="preserve"> Znamená to, že príspevok z fondov EÚ na oprávnené náklady projektu by mal byť v súčasnosti vyšší ako je v Zmluve o NFP. Najväčší vplyv na zvýšenie finančnej medzery má fakt, že príjmy z mýta sú nižšie ako sa predpokladalo </w:t>
      </w:r>
      <w:proofErr w:type="spellStart"/>
      <w:r>
        <w:rPr>
          <w:rFonts w:ascii="Arial" w:eastAsia="Times New Roman" w:hAnsi="Arial" w:cs="Arial"/>
          <w:color w:val="525252"/>
          <w:lang w:eastAsia="sk-SK"/>
        </w:rPr>
        <w:t>t.z</w:t>
      </w:r>
      <w:proofErr w:type="spellEnd"/>
      <w:r>
        <w:rPr>
          <w:rFonts w:ascii="Arial" w:eastAsia="Times New Roman" w:hAnsi="Arial" w:cs="Arial"/>
          <w:color w:val="525252"/>
          <w:lang w:eastAsia="sk-SK"/>
        </w:rPr>
        <w:t xml:space="preserve">. projekt nedokáže pokryť výdavky spojené s prevádzkou a údržbou infraštruktúry v referenčnom období 30 rokov.   </w:t>
      </w:r>
    </w:p>
    <w:p w:rsidR="005B7DD7" w:rsidRDefault="00AB0B89" w:rsidP="00BD3632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lastRenderedPageBreak/>
        <w:t xml:space="preserve">Finančné vyjadrenie ukazovateľov nižšie je kumulatívne za referenčné obdobie 30 rokov a sumy sú uvedené bez </w:t>
      </w:r>
      <w:proofErr w:type="spellStart"/>
      <w:r>
        <w:rPr>
          <w:rFonts w:ascii="Arial" w:eastAsia="Times New Roman" w:hAnsi="Arial" w:cs="Arial"/>
          <w:color w:val="525252"/>
          <w:lang w:eastAsia="sk-SK"/>
        </w:rPr>
        <w:t>diskontácie</w:t>
      </w:r>
      <w:proofErr w:type="spellEnd"/>
      <w:r>
        <w:rPr>
          <w:rFonts w:ascii="Arial" w:eastAsia="Times New Roman" w:hAnsi="Arial" w:cs="Arial"/>
          <w:color w:val="525252"/>
          <w:lang w:eastAsia="sk-SK"/>
        </w:rPr>
        <w:t xml:space="preserve"> (finančnou diskontnou sadzbou).</w:t>
      </w:r>
    </w:p>
    <w:tbl>
      <w:tblPr>
        <w:tblW w:w="90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2828"/>
        <w:gridCol w:w="2835"/>
        <w:gridCol w:w="1287"/>
      </w:tblGrid>
      <w:tr w:rsidR="005B7DD7">
        <w:trPr>
          <w:trHeight w:val="562"/>
        </w:trPr>
        <w:tc>
          <w:tcPr>
            <w:tcW w:w="2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</w:pPr>
            <w:bookmarkStart w:id="2" w:name="_Hlk14695119"/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Investičné náklady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5B7DD7" w:rsidRDefault="00AB0B8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266 030 102 EUR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po aktualizácii </w:t>
            </w:r>
          </w:p>
          <w:p w:rsidR="005B7DD7" w:rsidRDefault="00AB0B8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287 515 642 EUR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+ 8,08%</w:t>
            </w:r>
          </w:p>
        </w:tc>
      </w:tr>
    </w:tbl>
    <w:bookmarkEnd w:id="2"/>
    <w:p w:rsidR="005B7DD7" w:rsidRDefault="00AB0B89">
      <w:pPr>
        <w:shd w:val="clear" w:color="auto" w:fill="FFFFFF"/>
        <w:spacing w:before="120" w:after="120"/>
        <w:jc w:val="both"/>
      </w:pPr>
      <w:r>
        <w:rPr>
          <w:rFonts w:ascii="Arial" w:eastAsia="Times New Roman" w:hAnsi="Arial" w:cs="Arial"/>
          <w:color w:val="525252"/>
          <w:lang w:eastAsia="sk-SK"/>
        </w:rPr>
        <w:t>Uvádzané investičné náklady sú s DPH.</w:t>
      </w:r>
      <w:r>
        <w:t xml:space="preserve"> </w:t>
      </w:r>
      <w:r>
        <w:rPr>
          <w:rFonts w:ascii="Arial" w:eastAsia="Times New Roman" w:hAnsi="Arial" w:cs="Arial"/>
          <w:color w:val="525252"/>
          <w:lang w:eastAsia="sk-SK"/>
        </w:rPr>
        <w:t>Celkové investičné náklady stavby sú vyššie najmä z dôvodu nepriaznivého geologického podložia, ktorú nepredpokladala projektová dokumentácia, čo sa prejavilo zvýšenou náročnosťou financovania oporného múra. Nepriaznivo na celkové investičné náklady vplývala aj tragická udalosť v Kurimanoch, kde prišlo k zrúteniu betónového diaľničného mosta.</w:t>
      </w:r>
    </w:p>
    <w:p w:rsidR="005B7DD7" w:rsidRDefault="005B7DD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9"/>
        <w:gridCol w:w="2891"/>
        <w:gridCol w:w="2835"/>
        <w:gridCol w:w="1245"/>
      </w:tblGrid>
      <w:tr w:rsidR="005B7DD7">
        <w:tc>
          <w:tcPr>
            <w:tcW w:w="2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bookmarkStart w:id="3" w:name="_Hlk14695165"/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Zostatková hodnota</w:t>
            </w:r>
          </w:p>
        </w:tc>
        <w:tc>
          <w:tcPr>
            <w:tcW w:w="2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126 742 406 EUR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po aktualizácii 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151 875 080 EUR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+ 19,83%</w:t>
            </w:r>
          </w:p>
        </w:tc>
      </w:tr>
    </w:tbl>
    <w:bookmarkEnd w:id="3"/>
    <w:p w:rsidR="005B7DD7" w:rsidRDefault="00AB0B89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Vyššie investičné náklady vplývajú aj na zvýšenie zostatkovej hodnoty. Zostatková hodnota bola prepočítaná metódou „životnosti infraštruktúrnych prvkov“. </w:t>
      </w:r>
    </w:p>
    <w:p w:rsidR="005B7DD7" w:rsidRDefault="005B7DD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853"/>
        <w:gridCol w:w="2835"/>
        <w:gridCol w:w="1245"/>
      </w:tblGrid>
      <w:tr w:rsidR="005B7DD7">
        <w:tc>
          <w:tcPr>
            <w:tcW w:w="2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bookmarkStart w:id="4" w:name="_Hlk14695271"/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Príjmy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bookmarkStart w:id="5" w:name="OLE_LINK1"/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81 164 870</w:t>
            </w:r>
            <w:bookmarkEnd w:id="5"/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EUR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po aktualizácii 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54 297 473 EUR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- 33,1%</w:t>
            </w:r>
          </w:p>
        </w:tc>
      </w:tr>
    </w:tbl>
    <w:bookmarkEnd w:id="4"/>
    <w:p w:rsidR="005B7DD7" w:rsidRDefault="00AB0B89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Príjmy z mýta (ako jediný príjem projektu) sú priamo závislé na intenzitách nákladnej dopravy. Intenzity nákladnej dopravy na predmetnom úseku sú nižšie v porovnaní s predpokladanými intenzitami dopravy z pôvodnej CBA. Údaje o výbere mýta v EUR sú priamo z účtovníctva NDS a.s. za roky 2015 – 2018 spolu s predikciou vývoja na základe predpokladaných intenzít nákladnej dopravy. </w:t>
      </w:r>
    </w:p>
    <w:p w:rsidR="005B7DD7" w:rsidRDefault="005B7DD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8"/>
        <w:gridCol w:w="2942"/>
        <w:gridCol w:w="2835"/>
        <w:gridCol w:w="1245"/>
      </w:tblGrid>
      <w:tr w:rsidR="005B7DD7">
        <w:tc>
          <w:tcPr>
            <w:tcW w:w="2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bookmarkStart w:id="6" w:name="_Hlk14695949"/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Výdavky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 77 294 430 EUR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po aktualizácii 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78 247 659 EUR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+ 1,23%</w:t>
            </w:r>
          </w:p>
        </w:tc>
      </w:tr>
    </w:tbl>
    <w:bookmarkEnd w:id="6"/>
    <w:p w:rsidR="005B7DD7" w:rsidRDefault="00AB0B89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Výdavky projektu sa skladajú z nákladov na prevádzku a údržbu infraštruktúry a z nákladov na prevádzku mýta. Pôvodná kalkulácia výdavkov je pomerne presná v porovnaní s reálne vynaloženými nákladmi za roky 2015 – 2018 na predmetnom úseku. Údaje v EUR opäť pochádzajú z účtovníctva NDS a.s.   </w:t>
      </w:r>
    </w:p>
    <w:p w:rsidR="005B7DD7" w:rsidRDefault="005B7DD7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</w:p>
    <w:p w:rsidR="005B7DD7" w:rsidRDefault="005B7DD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</w:pPr>
    </w:p>
    <w:p w:rsidR="005B7DD7" w:rsidRDefault="00AB0B8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  <w:t>Vyhodnotenie ekonomickej analýzy</w:t>
      </w:r>
    </w:p>
    <w:p w:rsidR="005B7DD7" w:rsidRDefault="00AB0B89">
      <w:pPr>
        <w:shd w:val="clear" w:color="auto" w:fill="FFFFFF"/>
        <w:ind w:firstLine="708"/>
        <w:jc w:val="both"/>
      </w:pPr>
      <w:r>
        <w:rPr>
          <w:rFonts w:ascii="Arial" w:eastAsia="Times New Roman" w:hAnsi="Arial" w:cs="Arial"/>
          <w:color w:val="525252"/>
          <w:lang w:eastAsia="sk-SK"/>
        </w:rPr>
        <w:t>Pomer nákladov a prínosov (B/C) sa zvýšil z </w:t>
      </w:r>
      <w:bookmarkStart w:id="7" w:name="_Hlk14696150"/>
      <w:r>
        <w:rPr>
          <w:rFonts w:ascii="Arial" w:eastAsia="Times New Roman" w:hAnsi="Arial" w:cs="Arial"/>
          <w:b/>
          <w:bCs/>
          <w:color w:val="525252"/>
          <w:lang w:eastAsia="sk-SK"/>
        </w:rPr>
        <w:t xml:space="preserve">4,02 </w:t>
      </w:r>
      <w:r>
        <w:rPr>
          <w:rFonts w:ascii="Arial" w:eastAsia="Times New Roman" w:hAnsi="Arial" w:cs="Arial"/>
          <w:color w:val="525252"/>
          <w:lang w:eastAsia="sk-SK"/>
        </w:rPr>
        <w:t>na </w:t>
      </w:r>
      <w:bookmarkEnd w:id="7"/>
      <w:r>
        <w:rPr>
          <w:rFonts w:ascii="Arial" w:eastAsia="Times New Roman" w:hAnsi="Arial" w:cs="Arial"/>
          <w:b/>
          <w:bCs/>
          <w:color w:val="525252"/>
          <w:lang w:eastAsia="sk-SK"/>
        </w:rPr>
        <w:t>5,02.</w:t>
      </w:r>
      <w:r>
        <w:rPr>
          <w:rFonts w:ascii="Arial" w:eastAsia="Times New Roman" w:hAnsi="Arial" w:cs="Arial"/>
          <w:color w:val="525252"/>
          <w:lang w:eastAsia="sk-SK"/>
        </w:rPr>
        <w:t xml:space="preserve"> Zvýšenie bolo zapríčinené </w:t>
      </w:r>
      <w:bookmarkStart w:id="8" w:name="_Hlk14696258"/>
      <w:r>
        <w:rPr>
          <w:rFonts w:ascii="Arial" w:eastAsia="Times New Roman" w:hAnsi="Arial" w:cs="Arial"/>
          <w:color w:val="525252"/>
          <w:lang w:eastAsia="sk-SK"/>
        </w:rPr>
        <w:t xml:space="preserve">vyššou úsporou času cestujúcich na dotknutom diaľničnom úseku, ale aj na celej priľahlej cestnej siete okolia. Taktiež počet nehôd bol nižší ako sa predpokladalo, čo zapríčinilo vyššiu kumulatívnu úsporu z nehodovosti. </w:t>
      </w:r>
    </w:p>
    <w:p w:rsidR="005B7DD7" w:rsidRDefault="00AB0B89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>Všetky uvedené údaje z úspor nižšie sú diskontované ekonomickou diskontnou sadzbou 5,5%.</w:t>
      </w:r>
    </w:p>
    <w:p w:rsidR="005B7DD7" w:rsidRDefault="005B7DD7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5B7DD7" w:rsidRDefault="005B7DD7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bookmarkStart w:id="9" w:name="_GoBack"/>
      <w:bookmarkEnd w:id="9"/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2678"/>
        <w:gridCol w:w="1261"/>
      </w:tblGrid>
      <w:tr w:rsidR="005B7DD7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Úspora času cestujúcich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497 858 353 EUR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po aktualizácii 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852 614 527 EUR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+ 71,26%</w:t>
            </w:r>
          </w:p>
        </w:tc>
      </w:tr>
    </w:tbl>
    <w:p w:rsidR="005B7DD7" w:rsidRDefault="00AB0B89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Na úsek D1 Jánovce Jablonov bol pri predkladaní na Európsku Komisiu vypracovaný dopravný model, ktorý zahŕňal priľahlú cestnú sieť celkovo v dĺžke 108,26km. Pri dosadení reálne nameraných intenzít dopravy interakcia medzi celkovo 19timi úsekmi modelovaného územia spôsobili vyššiu úsporu času cestujúcich (najmä vyššie namerané intenzity na paralelných a priľahlých cestách I. triedy.) Ešte presnejšie posúdenie úspor času bude k dispozícii v roku 2020 po celoštátnom meraní intenzít dopravy na cestách I. a  II. triedy, ako aj z automatických </w:t>
      </w:r>
      <w:proofErr w:type="spellStart"/>
      <w:r>
        <w:rPr>
          <w:rFonts w:ascii="Arial" w:eastAsia="Times New Roman" w:hAnsi="Arial" w:cs="Arial"/>
          <w:color w:val="525252"/>
          <w:lang w:eastAsia="sk-SK"/>
        </w:rPr>
        <w:t>sčítačov</w:t>
      </w:r>
      <w:proofErr w:type="spellEnd"/>
      <w:r>
        <w:rPr>
          <w:rFonts w:ascii="Arial" w:eastAsia="Times New Roman" w:hAnsi="Arial" w:cs="Arial"/>
          <w:color w:val="525252"/>
          <w:lang w:eastAsia="sk-SK"/>
        </w:rPr>
        <w:t xml:space="preserve"> dopravy NDS a.s. resp. z údajov z mýtnych brán.</w:t>
      </w:r>
    </w:p>
    <w:p w:rsidR="005B7DD7" w:rsidRDefault="005B7DD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72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585"/>
        <w:gridCol w:w="2660"/>
        <w:gridCol w:w="1275"/>
      </w:tblGrid>
      <w:tr w:rsidR="005B7DD7"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Úspora prevádzkových nákladov vozidiel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224 276 071 EUR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po aktualizácii  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170 579 995 EUR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- 23,94%</w:t>
            </w:r>
          </w:p>
        </w:tc>
      </w:tr>
    </w:tbl>
    <w:p w:rsidR="005B7DD7" w:rsidRDefault="00AB0B89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Prevádzkové náklady vozidiel sú zložené zo spotreby pohonných hmôt a  ostatných prevádzkových nákladov vozidiel (ako napr. opotrebenie vozidiel), kde prichádza k zníženiu  úspory. Uvedené je spôsobené opäť interakciou reálne nameraných intenzít na modelovanej cestnej sieti, kde kľúčové ukazovatele boli dĺžky (v metroch) posudzovaných úsekov a rýchlosti vozidiel na daných úsekoch, z čoho bola vypočítaná priemerná spotreba pohonných hmôt. </w:t>
      </w:r>
    </w:p>
    <w:p w:rsidR="005B7DD7" w:rsidRDefault="005B7DD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1"/>
        <w:gridCol w:w="2595"/>
        <w:gridCol w:w="2673"/>
        <w:gridCol w:w="1261"/>
      </w:tblGrid>
      <w:tr w:rsidR="005B7DD7">
        <w:tc>
          <w:tcPr>
            <w:tcW w:w="2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Úspora z nehodovosti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27 892 102 EUR</w:t>
            </w:r>
          </w:p>
        </w:tc>
        <w:tc>
          <w:tcPr>
            <w:tcW w:w="2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po aktualizácii </w:t>
            </w:r>
          </w:p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44 404 276 EUR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Default="00AB0B89">
            <w:pPr>
              <w:spacing w:after="0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+ 59,2%</w:t>
            </w:r>
          </w:p>
        </w:tc>
      </w:tr>
    </w:tbl>
    <w:p w:rsidR="005B7DD7" w:rsidRDefault="00AB0B89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Nehodovosť bola vypočítaná na základe počtu nehôd za roky 2016 – 2018, kde bol zaznamenaný nižší počet smrteľných nehôd, ako aj nižší počet nehôd s vážnymi aj ľahkými zraneniami v porovnaní s pôvodným predpokladom CBA analýzy. Do analýzy nehodovosti vstupoval nielen samotný úsek ale aj celá priľahlá sieť ciest prvej a druhej triedy.    </w:t>
      </w:r>
    </w:p>
    <w:bookmarkEnd w:id="8"/>
    <w:p w:rsidR="005B7DD7" w:rsidRDefault="00AB0B89">
      <w:pPr>
        <w:shd w:val="clear" w:color="auto" w:fill="FFFFFF"/>
        <w:jc w:val="both"/>
      </w:pPr>
      <w:r>
        <w:rPr>
          <w:rFonts w:ascii="Arial" w:eastAsia="Times New Roman" w:hAnsi="Arial" w:cs="Arial"/>
          <w:b/>
          <w:bCs/>
          <w:color w:val="525252"/>
          <w:lang w:eastAsia="sk-SK"/>
        </w:rPr>
        <w:t> </w:t>
      </w:r>
    </w:p>
    <w:p w:rsidR="005B7DD7" w:rsidRDefault="005B7DD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</w:pPr>
    </w:p>
    <w:p w:rsidR="005B7DD7" w:rsidRDefault="005B7DD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</w:pPr>
    </w:p>
    <w:p w:rsidR="005B7DD7" w:rsidRDefault="00AB0B8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  <w:t>Záverečné hodnotenie</w:t>
      </w:r>
    </w:p>
    <w:p w:rsidR="005B7DD7" w:rsidRDefault="005B7DD7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5B7DD7" w:rsidRDefault="00AB0B89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>Spätné vyhodnotenie CBA preukázalo opodstatnenosť financovania projektu z fondov Európskej Únie.</w:t>
      </w:r>
    </w:p>
    <w:p w:rsidR="005B7DD7" w:rsidRDefault="00AB0B89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Finančná analýza potvrdila predpoklad, že projekt nedokáže v plnom rozsahu pokryť výdavky zo svojich príjmov, dokonca v súčasnosti by mal byť finančný príspevok z Kohézneho fondu vyšší ako bol pôvodne poskytnutý. </w:t>
      </w:r>
    </w:p>
    <w:p w:rsidR="005B7DD7" w:rsidRDefault="00AB0B89">
      <w:pPr>
        <w:shd w:val="clear" w:color="auto" w:fill="FFFFFF"/>
        <w:spacing w:after="150"/>
        <w:ind w:firstLine="708"/>
        <w:jc w:val="both"/>
      </w:pPr>
      <w:r>
        <w:rPr>
          <w:rFonts w:ascii="Arial" w:eastAsia="Times New Roman" w:hAnsi="Arial" w:cs="Arial"/>
          <w:color w:val="525252"/>
          <w:lang w:eastAsia="sk-SK"/>
        </w:rPr>
        <w:t>Ekonomická analýza potvrdila efektívnosť vynakladania verejných zdrojov, nakoľko prínosy projektu pre spoločnosť prevažujú pred jeho nákladmi. Pri posudzovanom projekte metodikou OPD sa celkové prínosy pre spoločnosť ešte viac zvýšili.</w:t>
      </w:r>
    </w:p>
    <w:sectPr w:rsidR="005B7DD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65" w:rsidRDefault="009A2365">
      <w:pPr>
        <w:spacing w:after="0" w:line="240" w:lineRule="auto"/>
      </w:pPr>
      <w:r>
        <w:separator/>
      </w:r>
    </w:p>
  </w:endnote>
  <w:endnote w:type="continuationSeparator" w:id="0">
    <w:p w:rsidR="009A2365" w:rsidRDefault="009A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65" w:rsidRDefault="009A23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2365" w:rsidRDefault="009A2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7DD7"/>
    <w:rsid w:val="002849EC"/>
    <w:rsid w:val="00554996"/>
    <w:rsid w:val="005B7DD7"/>
    <w:rsid w:val="007E7AC5"/>
    <w:rsid w:val="009A2365"/>
    <w:rsid w:val="00AB0B89"/>
    <w:rsid w:val="00B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Vajdiak, Peter</dc:creator>
  <cp:lastModifiedBy>Vajdiak, Peter</cp:lastModifiedBy>
  <cp:revision>4</cp:revision>
  <dcterms:created xsi:type="dcterms:W3CDTF">2019-11-17T12:16:00Z</dcterms:created>
  <dcterms:modified xsi:type="dcterms:W3CDTF">2019-11-17T12:19:00Z</dcterms:modified>
</cp:coreProperties>
</file>